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A3D2FF">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8"/>
        </w:rPr>
      </w:pPr>
      <w:r>
        <w:rPr>
          <w:rFonts w:hint="default" w:ascii="Times New Roman" w:hAnsi="Times New Roman" w:eastAsia="方正小标宋简体" w:cs="Times New Roman"/>
          <w:sz w:val="44"/>
          <w:szCs w:val="48"/>
        </w:rPr>
        <w:t>中国共产党第二十届中央委员会第四次</w:t>
      </w:r>
    </w:p>
    <w:p w14:paraId="7129341B">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8"/>
        </w:rPr>
      </w:pPr>
      <w:r>
        <w:rPr>
          <w:rFonts w:hint="default" w:ascii="Times New Roman" w:hAnsi="Times New Roman" w:eastAsia="方正小标宋简体" w:cs="Times New Roman"/>
          <w:sz w:val="44"/>
          <w:szCs w:val="48"/>
        </w:rPr>
        <w:t>全体会议公报</w:t>
      </w:r>
    </w:p>
    <w:p w14:paraId="34217A25">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仿宋_GB2312" w:cs="Times New Roman"/>
          <w:sz w:val="32"/>
          <w:szCs w:val="32"/>
        </w:rPr>
      </w:pPr>
      <w:r>
        <w:rPr>
          <w:rFonts w:hint="default" w:ascii="Times New Roman" w:hAnsi="Times New Roman" w:eastAsia="仿宋_GB2312" w:cs="Times New Roman"/>
          <w:sz w:val="32"/>
          <w:szCs w:val="32"/>
        </w:rPr>
        <w:t>“学习强国”学习平台2025-10-23</w:t>
      </w:r>
    </w:p>
    <w:p w14:paraId="7E66A97D">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仿宋_GB2312" w:cs="Times New Roman"/>
          <w:sz w:val="32"/>
          <w:szCs w:val="32"/>
        </w:rPr>
      </w:pPr>
    </w:p>
    <w:p w14:paraId="1B09E2D5">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新华社北京10月23日电</w:t>
      </w:r>
    </w:p>
    <w:p w14:paraId="52E42DE4">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（2025年10月23日中国共产党第二十届中央委员会第四次全体会议通过）</w:t>
      </w:r>
    </w:p>
    <w:p w14:paraId="6B2486F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中国共产党第二十届中央委员会第四次全体会议，于2025年10月20日至23日在北京举行。</w:t>
      </w:r>
    </w:p>
    <w:p w14:paraId="5297DB6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出席这次全会的有，中央委员168人，候补中央委员147人。中央纪律检查委员会常务委员会委员和有关方面负责同志列席会议。党的二十大代表中部分基层同志和专家学者也列席了会议。</w:t>
      </w:r>
    </w:p>
    <w:p w14:paraId="7F02E14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全会由中央政治局主持。中央委员会总书记习近平作了重要讲话。</w:t>
      </w:r>
    </w:p>
    <w:p w14:paraId="3D3B23D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全会听取和讨论了习近平受中央政治局委托所作的工作报告，审议通过了《中共中央关于制定国民经济和社会发展第十五个五年规划的建议》。习近平就《建议（讨论稿）》向全会作了说明。</w:t>
      </w:r>
    </w:p>
    <w:p w14:paraId="4D79592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充分肯定党的二十届三中全会以来中央政治局的工作。一致认为，中央政治局认真落实党的二十大和二十届历次全会精神，坚持稳中求进工作总基调，完整准确全面贯彻新发展理念，统筹推进“五位一体”总体布局，协调推进“四个全面”战略布局，</w:t>
      </w:r>
      <w:r>
        <w:rPr>
          <w:rFonts w:hint="default" w:ascii="Times New Roman" w:hAnsi="Times New Roman" w:eastAsia="仿宋_GB2312" w:cs="Times New Roman"/>
          <w:sz w:val="32"/>
          <w:szCs w:val="32"/>
        </w:rPr>
        <w:t>统筹国内国际两个大局，统筹发展和安全，进一步全面深化改革，扎实推动高质量发展，推进社会主义民主法治建设，加强宣</w:t>
      </w:r>
      <w:r>
        <w:rPr>
          <w:rFonts w:hint="eastAsia" w:ascii="仿宋_GB2312" w:hAnsi="仿宋_GB2312" w:eastAsia="仿宋_GB2312" w:cs="仿宋_GB2312"/>
          <w:sz w:val="32"/>
          <w:szCs w:val="32"/>
        </w:rPr>
        <w:t>传思想文化工作，切实抓好民生保障和生态环境保护，维护国家安全和社会稳定，开展深入贯彻中央八项规定精神学习教育、纵深推进全面从严治党，加强国防和军队现代化建设，做好港澳工作和对台工作，深入推进中国特色大国外交，推动经济持续回升向好，“十四五”主</w:t>
      </w:r>
      <w:r>
        <w:rPr>
          <w:rFonts w:hint="default" w:ascii="Times New Roman" w:hAnsi="Times New Roman" w:eastAsia="仿宋_GB2312" w:cs="Times New Roman"/>
          <w:sz w:val="32"/>
          <w:szCs w:val="32"/>
        </w:rPr>
        <w:t>要目标任务即将胜利完成。隆重纪念中国人民抗日战争暨世界反法西斯战争胜利80周年，极大振奋民族精神、激发爱国热情、凝聚奋斗力量。</w:t>
      </w:r>
    </w:p>
    <w:p w14:paraId="0045A87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高度评价“十四五”时期我国发展取得的重大成就。“十四五”时期我国发展历程极不寻常、极不平凡。面对错综复杂的国际形势和艰巨繁重的国内改革发展稳定任务，以习近平同志为核心的党中央团结带领全党全国各族人民，迎难而上、砥砺前行，经受住世纪疫情严重冲击，有效应对一系列重大风险挑战，推动党和国家事业取得新的重大成就。我国经济实力、科技实力、综合国力跃上新台阶，中国式现</w:t>
      </w:r>
      <w:r>
        <w:rPr>
          <w:rFonts w:hint="default" w:ascii="Times New Roman" w:hAnsi="Times New Roman" w:eastAsia="仿宋_GB2312" w:cs="Times New Roman"/>
          <w:sz w:val="32"/>
          <w:szCs w:val="32"/>
        </w:rPr>
        <w:t>代化迈出新的坚实步伐，第二个百年奋斗目标新征程实现良好开局。</w:t>
      </w:r>
    </w:p>
    <w:p w14:paraId="68CB623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全会指出，实</w:t>
      </w:r>
      <w:r>
        <w:rPr>
          <w:rFonts w:hint="eastAsia" w:ascii="仿宋_GB2312" w:hAnsi="仿宋_GB2312" w:eastAsia="仿宋_GB2312" w:cs="仿宋_GB2312"/>
          <w:sz w:val="32"/>
          <w:szCs w:val="32"/>
        </w:rPr>
        <w:t>现社会主义现代化是一个阶梯式递进、不断发展进步的历史过程，需要不懈努力、接续奋斗。“十五五”时期是基本实现社会主义现代化夯实基础、全面发力的关键时期，在基本实现社会主义现代化进程中具有承前启后的重要地位。“十五五”时期我国发展环境面临深刻复杂变化，我国发展处于战略机遇和风险挑战并存、不确定难预料因素增多的时期。我国经济基础稳、优势多、韧性强、潜能大，长期向好的支撑条件和基本趋势没有变，中国特色社会主义制度优势、超大规模市场优势、完整产业体系优势、丰富人才资源优势更加彰显。全党要深刻领悟“两个确立”的决定性意义，增强“四个意识”、坚定“四个自信”、做到“两个维护”，保持战略定力，增强必胜信心，积极识变应变求变，敢于斗争、善于斗争，勇于面对风高浪急甚至惊涛骇浪的重大考验，以历史主动精神克难关、战风险、迎挑战，集中力量办好自己的事，续写经济快速发展和社会长期稳定两大奇迹新篇章，奋力开创中国式现代化建设新局面。</w:t>
      </w:r>
    </w:p>
    <w:p w14:paraId="37A2141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全会强调，“十五五”时期经济社会发展，必须坚持马克思列宁主义、毛泽东思想、邓小平理论、“三个代表”重要思想、科学发展观，全面贯彻习近平新时代中国特色社会主义思想，深入贯彻党的二十大和二十届历次全会精神，围绕全面建成社会主义现代化强国、实现第二个百年奋斗目标，以中国式现代化全面推进中华民族伟大复兴，统筹推进“五位一体”总体布局，协调推进“四个全面”战略布局，统筹国内国际两个大局，完整准确全面贯彻新发展理念，加快构建新发展格局，坚持稳中求进工作总基调，坚持以经济建设为中心，以推动高质量发展为主题，以改革创新为根本动力，以满足人民日益增长的美好生活需要为根本目的，以全面从严治党为根本保障，推动经济实现质的有效提升和量的合理增长，推动人的全面发展、全体人民共同富裕迈出坚实步伐，确保基本实现社会主义现代化取得决定性进展。</w:t>
      </w:r>
    </w:p>
    <w:p w14:paraId="7EA0D76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全会指出，“十五五”时期经济社会发展必须遵循以下原则，坚持党的全面领导，坚持人民至上，坚持高质量发展，坚持全面深化改革，坚持有效市场和有为政府相结合，坚持统筹发展和安全。</w:t>
      </w:r>
    </w:p>
    <w:p w14:paraId="3837931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提出了“十五五”时期经济社会发展的主要目标：高质量发展取得显著成效，科技自立自强水平大幅提高，进一步全面深化改革取得新突破，社会文明程度明显提升，人民生活品质不断提高，美丽中国建设取得新的重大进展，国家安全屏障更加巩固。在此基础上再奋斗五年，到二〇三五年实现我国经济实力、科技实力、国防实力、综合国力和国际影响力大</w:t>
      </w:r>
      <w:r>
        <w:rPr>
          <w:rFonts w:hint="default" w:ascii="Times New Roman" w:hAnsi="Times New Roman" w:eastAsia="仿宋_GB2312" w:cs="Times New Roman"/>
          <w:sz w:val="32"/>
          <w:szCs w:val="32"/>
        </w:rPr>
        <w:t>幅跃升，人均国内生产总值达到中等发达国家水平，人民生活更加幸福美好，基本实现社会主义现代化。</w:t>
      </w:r>
    </w:p>
    <w:p w14:paraId="17A487F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建设现代化产业体系，巩固壮大实体经济根基。坚持把发展经济的着力点放在实体经济上，坚持智能化、绿色化、融合化方向，加快建设制造强国、质量强国、航天强国、交通强国、网络强国，保持制造业合理比重，构建以先进制造业为骨干的现代化产业体系。要优化提升传统产业，培育壮大新兴产业和未来产业，促进服务业优质高效发展，构建现代化基础设施体系。</w:t>
      </w:r>
    </w:p>
    <w:p w14:paraId="69FBE38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加快高水平科技自立自强，引领发展新质生产力。抓住新一轮科技革命和产业变革历史机遇，统筹教育强国、科技强国、人才强国建设，提升国家创新体系整体效能，全面增强自主创新能力，抢占科技发展制高点，不断催生新质生产力。要加强原始创新和关键核心技术攻关，推动科技创新和产业创新深度融合，一体推进教育科技人才发展，深入推进数字中国建设。</w:t>
      </w:r>
    </w:p>
    <w:p w14:paraId="1010777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建设强大国内市场，加快构建新发展格局。坚持扩大内需这个战略基点，坚持惠民生和促消费、投资于物和投资于人紧密结合，以新需求引领新供给，以新供给创造新需求，促进消费和投资、供给和需求良性互动，增强国内大循环内生动力和可靠性。要大力提振消费，扩大有效投资，坚决破除阻碍全国统一大市场建设卡点堵点。</w:t>
      </w:r>
    </w:p>
    <w:p w14:paraId="4F79421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加快构建高水平社会主义市场经济体制，增强高质量发展动力。坚持和完善社会主义基本经济制度，更好发挥经济体制改革牵引作用，完善宏观经济治理体系，确保高质量发展行稳致远。要充分激发各类经营主体活力，加快完善要素市场化配置体制机制，提升宏观经济治理效能。</w:t>
      </w:r>
    </w:p>
    <w:p w14:paraId="2F38AEE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全会提出</w:t>
      </w:r>
      <w:r>
        <w:rPr>
          <w:rFonts w:hint="eastAsia" w:ascii="仿宋_GB2312" w:hAnsi="仿宋_GB2312" w:eastAsia="仿宋_GB2312" w:cs="仿宋_GB2312"/>
          <w:sz w:val="32"/>
          <w:szCs w:val="32"/>
        </w:rPr>
        <w:t>，扩大高水平对外开放，开创合作共赢新局面。稳步扩大制度型开放，维护多边贸易体制，拓展国际循环，以开放促改革促发展，与世界各国共享机遇、共同发展。要积极扩大自主开放，推动贸易创新发展，拓展双向投资合作空间，高质量共建“一带一路”。</w:t>
      </w:r>
    </w:p>
    <w:p w14:paraId="1F212AB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全会提出，加快农业农村现代化，扎实推进乡村全面振兴。坚持把解决好“三农”问题作为全党工作重中之重，促进城乡融合发展，持续巩固拓展脱贫</w:t>
      </w:r>
      <w:r>
        <w:rPr>
          <w:rFonts w:hint="default" w:ascii="Times New Roman" w:hAnsi="Times New Roman" w:eastAsia="仿宋_GB2312" w:cs="Times New Roman"/>
          <w:sz w:val="32"/>
          <w:szCs w:val="32"/>
        </w:rPr>
        <w:t>攻坚成果，推动农村基本具备现代生活条件，加快建设农业强国。要提升农业综合生产能力和质量效益，推进宜居宜业和美乡村建设，提高强农惠农富农政策效能。</w:t>
      </w:r>
    </w:p>
    <w:p w14:paraId="1BED27E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优化区域经济布局，促进区域协调发展。发挥区域协调发展战略、区域重大战略、主体功能区战略、新型城镇化战略叠加效应，优化重大生产力布局，发挥重点区域增长极作用，构建优势互补、高质量发展的区域经济布局和国土空间体系。要增强区域发展协调性，促进区域联动发展，优化国土空间发展格局，深入推进以人为本的新型城镇化，加强海洋开发利用保护。</w:t>
      </w:r>
    </w:p>
    <w:p w14:paraId="60FA32C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激发全民族文化创新创造活力，繁荣发展社会主义文化。坚持马克思主义在意识形态领域的指导地位，植根博大精深的中华文明，顺应信息技术发展潮流，发展具有强大思想引领力、精神凝聚力、价值感召力、国际影响力的新时代中国特色社会主义文化，扎实推进文化强国建设。要弘扬和践行社会主义核心价值观，大力繁荣文化事业，加快发展文化产业，提升中华文明传播力影响力。</w:t>
      </w:r>
    </w:p>
    <w:p w14:paraId="0A548E8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加大保障和改善民生力度，扎实推进全体人民共同富裕。坚持尽力而为、量力而行，加强普惠性、基础性、兜底性民生建设，解决好人民群众急难愁盼问题，畅通社会流动渠道，提高人民生活品质。要促进高质量充分就业，完善收入分配制度，办好人民满意的教育，健全社会保障体系，推动房地产高质量发展，加快建设健康中国，促进人口高质量发展，稳步推进基本公共服务均等化。</w:t>
      </w:r>
    </w:p>
    <w:p w14:paraId="2148A0A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提出，加快经济社会发展全面绿色转型，建设美丽中国。牢固树立和践行绿水青山就是金山银山的理念，以碳达峰碳中和为牵引，协同推进降碳、减污、扩绿、增长，筑牢生态安全屏障，增强绿色发展动能。要持续深入推进污染防治攻坚和生态系统优化，加快建设新型能源体系，积极稳妥推进和实现碳达峰，加快形成绿色生产生活方式。</w:t>
      </w:r>
    </w:p>
    <w:p w14:paraId="05D6CAA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全会提出，推进国家安全体系和能力现代化，建设更高水平平安中国。坚定不移贯彻总体国家安全观，走中国特色社会主义社会治理之路，确保社会生机勃勃又井然有序。要健全国家安全体系，加强重</w:t>
      </w:r>
      <w:r>
        <w:rPr>
          <w:rFonts w:hint="eastAsia" w:ascii="仿宋_GB2312" w:hAnsi="仿宋_GB2312" w:eastAsia="仿宋_GB2312" w:cs="仿宋_GB2312"/>
          <w:sz w:val="32"/>
          <w:szCs w:val="32"/>
        </w:rPr>
        <w:t>点领域国家安全能力建设，提高公共安全治理水平，完善社会治理体系。</w:t>
      </w:r>
    </w:p>
    <w:p w14:paraId="17E0934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全会提出，如期实现建军一百年奋斗目标，高质量推进国防和军队现代化。贯彻习近平强军思想，贯彻新时代军事战略方针，坚持党对人民军队绝对领导，贯彻军委主席负责制，按照国防和军队现代化新“三步走”战略，推进政治建军、改革强军、科技强军、人才强军、依法治军，边斗争、边备战、边建设，加快机械化信息化智能化融合发展，提高捍卫国家主权、安全、发展利益战略能力。要加快先进战斗力建设，推进军事治理现代化，巩固提高一体化国家战略体系和能力。</w:t>
      </w:r>
    </w:p>
    <w:p w14:paraId="4AEA253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全会强调，全党全国各族人民团结起来为实现“十五五”规划而奋斗。坚持以党的自我革命引领社会革命，持之以恒推进全面从严治党，增强党的政治领导力、思想引</w:t>
      </w:r>
      <w:r>
        <w:rPr>
          <w:rFonts w:hint="default" w:ascii="Times New Roman" w:hAnsi="Times New Roman" w:eastAsia="仿宋_GB2312" w:cs="Times New Roman"/>
          <w:sz w:val="32"/>
          <w:szCs w:val="32"/>
        </w:rPr>
        <w:t>领力、群众组织力、社会号召力，提高党领导经济社会发展能力和水平，为推进中国式现代化凝聚磅礴力量。要坚持和加强党中央集中统一领导，推进社会主义民主法治建设，充分调动全社会投身中国式现代化建设的积极性主动性创造性。促进香港、澳门长期繁荣稳定，推动两岸关系和平发展、推进祖国统一大业，推动构建人类命运共同体。</w:t>
      </w:r>
    </w:p>
    <w:p w14:paraId="5969980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指出，学习好贯彻好全会精神是当前和今后一个时期全党全国的重大政治任务。要通过各种方式，组织好全会精神的学习、宣讲、宣传，使全党全社会领会好全会精神。要切实抓好全会精神的贯彻落实，坚定不移推动高质量发展，加快构建新发展格局，推动全体人民共同富裕迈出坚实步伐，更好统筹发展和安全，统筹推进经济建设和各领域工作，为基本实现社会主义现代化夯实基础。</w:t>
      </w:r>
    </w:p>
    <w:p w14:paraId="2945104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全会强调，治国必先治党，党兴才能国强。管党治党越有效，经济社会发展的保障就越有力。必须以永远在路上的坚韧和执着，持之以恒推进全面从严治党，坚决把党的自我革命要求落实到位，推</w:t>
      </w:r>
      <w:r>
        <w:rPr>
          <w:rFonts w:hint="eastAsia" w:ascii="仿宋_GB2312" w:hAnsi="仿宋_GB2312" w:eastAsia="仿宋_GB2312" w:cs="仿宋_GB2312"/>
          <w:sz w:val="32"/>
          <w:szCs w:val="32"/>
        </w:rPr>
        <w:t>进党的作风建设常态化长效化，坚定不移开展反腐败斗争，为实现“十</w:t>
      </w:r>
      <w:r>
        <w:rPr>
          <w:rFonts w:hint="default" w:ascii="Times New Roman" w:hAnsi="Times New Roman" w:eastAsia="仿宋_GB2312" w:cs="Times New Roman"/>
          <w:sz w:val="32"/>
          <w:szCs w:val="32"/>
        </w:rPr>
        <w:t>五</w:t>
      </w:r>
      <w:r>
        <w:rPr>
          <w:rFonts w:hint="eastAsia" w:ascii="仿宋_GB2312" w:hAnsi="仿宋_GB2312" w:eastAsia="仿宋_GB2312" w:cs="仿宋_GB2312"/>
          <w:sz w:val="32"/>
          <w:szCs w:val="32"/>
        </w:rPr>
        <w:t>五”时期经济社会发展目标提供坚强保证。</w:t>
      </w:r>
    </w:p>
    <w:p w14:paraId="67DD927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全会分析了当前形势和任务，强调坚决实现全年经济社会发展目标。要继续精准落实党中央决策部署，着力稳就业、稳企业、稳市场、稳预期，稳住经济基本盘，巩固拓展经济回升向好势头。宏观政策要持续发力、适时加力，落实好企业帮扶政策，深入实施提振消费专项行动，兜牢基层“三保”底线，积极稳妥化解地方政府债务风险。</w:t>
      </w:r>
    </w:p>
    <w:p w14:paraId="2488BC5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全会指出，要切实抓好民生保障，多渠道挖掘潜力，加强稳岗促就业工作，促进</w:t>
      </w:r>
      <w:r>
        <w:rPr>
          <w:rFonts w:hint="default" w:ascii="Times New Roman" w:hAnsi="Times New Roman" w:eastAsia="仿宋_GB2312" w:cs="Times New Roman"/>
          <w:sz w:val="32"/>
          <w:szCs w:val="32"/>
        </w:rPr>
        <w:t>重点群体稳定就业，加大欠薪整治力度，加强基本公共服务，解决好人民群众急难愁盼问题。切实抓好灾后恢复重建、受灾群众安置和生活保障工作，确保受灾群众温暖过冬。</w:t>
      </w:r>
    </w:p>
    <w:p w14:paraId="3E8C81D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强调，要做好安全生产和维护稳定工作，压紧压实安全生产责任，严格落实各项监管制度，坚决防范和遏制重特大事故发生。强化食品药品安全全链条监管。深入排查化解矛盾纠纷，加强社会治安整体防控，依法打击各类违法犯罪。加强舆论引导，有效防范化解意识形态风险。</w:t>
      </w:r>
    </w:p>
    <w:p w14:paraId="7D76FCC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全会决定，增补张升民为中共中央军事委员会副主席。</w:t>
      </w:r>
    </w:p>
    <w:p w14:paraId="08E233A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全会按照党章规定，决定递补中央委员会候补委员于会文、马汉成、王健、王曦、王永红、王庭凯、王新伟、韦韬、邓亦武、邓修明、卢红为中央委员会委员。</w:t>
      </w:r>
    </w:p>
    <w:p w14:paraId="5DFD5FF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全会审议并通过了中共中央纪律检查委员会关于唐仁健、金湘军、李石松、杨发森、朱芝松严重违纪违法问题的审查报告，审议并通过了中共中央军事委员会关于</w:t>
      </w:r>
      <w:bookmarkStart w:id="0" w:name="_GoBack"/>
      <w:bookmarkEnd w:id="0"/>
      <w:r>
        <w:rPr>
          <w:rFonts w:hint="default" w:ascii="Times New Roman" w:hAnsi="Times New Roman" w:eastAsia="仿宋_GB2312" w:cs="Times New Roman"/>
          <w:sz w:val="32"/>
          <w:szCs w:val="32"/>
        </w:rPr>
        <w:t>何卫东、苗华、何宏军、王秀斌、林向阳、秦树桐、袁华智、王春宁、张凤中严重违纪违法问题的审查报告，确认中央政治局之前作出的给予何卫东、苗华、唐仁健、金湘军、何宏军、王秀斌、林向阳、秦树桐、袁华智、王春宁、李石松、杨发森、朱芝松、张凤中开除党籍的处分。</w:t>
      </w:r>
    </w:p>
    <w:p w14:paraId="6BD394D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全会号召，全党全军全国各族人民要更加紧密地团结在以习近平同志为核心的党中央周围，为基本实现社会主义现代化而共同奋斗，不断开创以中国式现代化全面推进强国建设、民族复兴伟业新局面。</w:t>
      </w:r>
    </w:p>
    <w:p w14:paraId="454B057D">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仿宋_GB2312" w:cs="Times New Roman"/>
          <w:sz w:val="32"/>
          <w:szCs w:val="32"/>
        </w:rPr>
      </w:pPr>
    </w:p>
    <w:sectPr>
      <w:headerReference r:id="rId3" w:type="first"/>
      <w:footerReference r:id="rId6" w:type="first"/>
      <w:footerReference r:id="rId4" w:type="default"/>
      <w:footerReference r:id="rId5" w:type="even"/>
      <w:pgSz w:w="11906" w:h="16838"/>
      <w:pgMar w:top="2098" w:right="1474" w:bottom="1984" w:left="158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F7675BB9-6190-44E5-8A9F-40FDCF8419BD}"/>
  </w:font>
  <w:font w:name="宋体">
    <w:panose1 w:val="02010600030101010101"/>
    <w:charset w:val="86"/>
    <w:family w:val="auto"/>
    <w:pitch w:val="default"/>
    <w:sig w:usb0="00000203" w:usb1="288F0000" w:usb2="00000006" w:usb3="00000000" w:csb0="00040001" w:csb1="00000000"/>
    <w:embedRegular r:id="rId2" w:fontKey="{37BD2432-28A7-4E9E-A0D2-C71ABC6A58FF}"/>
  </w:font>
  <w:font w:name="Wingdings">
    <w:panose1 w:val="05000000000000000000"/>
    <w:charset w:val="02"/>
    <w:family w:val="auto"/>
    <w:pitch w:val="default"/>
    <w:sig w:usb0="00000000" w:usb1="00000000" w:usb2="00000000" w:usb3="00000000" w:csb0="80000000" w:csb1="00000000"/>
    <w:embedRegular r:id="rId3" w:fontKey="{32E314F1-E3F4-41B1-B386-AA3631179731}"/>
  </w:font>
  <w:font w:name="Arial">
    <w:panose1 w:val="020B0604020202020204"/>
    <w:charset w:val="01"/>
    <w:family w:val="swiss"/>
    <w:pitch w:val="default"/>
    <w:sig w:usb0="E0002EFF" w:usb1="C000785B" w:usb2="00000009" w:usb3="00000000" w:csb0="400001FF" w:csb1="FFFF0000"/>
    <w:embedRegular r:id="rId4" w:fontKey="{20BF519B-8A9F-4367-8D6F-C0651DFFB71B}"/>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ACEBC5B0-EB84-4A7C-BDE7-6141ED5121DF}"/>
  </w:font>
  <w:font w:name="Symbol">
    <w:panose1 w:val="05050102010706020507"/>
    <w:charset w:val="02"/>
    <w:family w:val="roman"/>
    <w:pitch w:val="default"/>
    <w:sig w:usb0="00000000" w:usb1="00000000" w:usb2="00000000" w:usb3="00000000" w:csb0="80000000" w:csb1="00000000"/>
    <w:embedRegular r:id="rId6" w:fontKey="{72FE1140-E681-498D-85E2-B31789733B15}"/>
  </w:font>
  <w:font w:name="Calibri">
    <w:panose1 w:val="020F0502020204030204"/>
    <w:charset w:val="00"/>
    <w:family w:val="swiss"/>
    <w:pitch w:val="default"/>
    <w:sig w:usb0="E4002EFF" w:usb1="C000247B" w:usb2="00000009" w:usb3="00000000" w:csb0="200001FF" w:csb1="00000000"/>
    <w:embedRegular r:id="rId7" w:fontKey="{2F9EC3E6-A829-45F8-9BD8-47FD8732BFD9}"/>
  </w:font>
  <w:font w:name="仿宋_GB2312">
    <w:panose1 w:val="02010609030101010101"/>
    <w:charset w:val="86"/>
    <w:family w:val="auto"/>
    <w:pitch w:val="default"/>
    <w:sig w:usb0="00000001" w:usb1="080E0000" w:usb2="00000000" w:usb3="00000000" w:csb0="00040000" w:csb1="00000000"/>
    <w:embedRegular r:id="rId8" w:fontKey="{BD1EBC63-AB49-4A1B-B8A4-56348855B59B}"/>
  </w:font>
  <w:font w:name="方正小标宋简体">
    <w:panose1 w:val="02000000000000000000"/>
    <w:charset w:val="86"/>
    <w:family w:val="auto"/>
    <w:pitch w:val="default"/>
    <w:sig w:usb0="00000001" w:usb1="080E0000" w:usb2="00000000" w:usb3="00000000" w:csb0="00040000" w:csb1="00000000"/>
    <w:embedRegular r:id="rId9" w:fontKey="{DF98A39C-3231-4FDC-905C-3AE8D307D2D3}"/>
  </w:font>
  <w:font w:name="方正仿宋_GB2312">
    <w:panose1 w:val="02000000000000000000"/>
    <w:charset w:val="86"/>
    <w:family w:val="auto"/>
    <w:pitch w:val="default"/>
    <w:sig w:usb0="A00002BF" w:usb1="184F6CFA" w:usb2="00000012" w:usb3="00000000" w:csb0="00040001" w:csb1="00000000"/>
    <w:embedRegular r:id="rId10" w:fontKey="{0A723322-B32C-4D2B-91DB-DE4B1C16CAE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51537A">
    <w:pPr>
      <w:pStyle w:val="2"/>
      <w:jc w:val="cente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BA56D43">
                          <w:pPr>
                            <w:rPr>
                              <w:rFonts w:hint="eastAsia" w:ascii="宋体" w:hAnsi="宋体" w:eastAsia="宋体" w:cstheme="minorEastAsia"/>
                              <w:sz w:val="28"/>
                              <w:szCs w:val="28"/>
                            </w:rPr>
                          </w:pPr>
                          <w:r>
                            <w:rPr>
                              <w:rFonts w:hint="eastAsia" w:ascii="宋体" w:hAnsi="宋体" w:eastAsia="宋体" w:cstheme="minorEastAsia"/>
                              <w:sz w:val="28"/>
                              <w:szCs w:val="28"/>
                            </w:rPr>
                            <w:t>—</w:t>
                          </w:r>
                          <w:r>
                            <w:rPr>
                              <w:rFonts w:hint="eastAsia" w:ascii="宋体" w:hAnsi="宋体" w:eastAsia="宋体" w:cstheme="minorEastAsia"/>
                              <w:sz w:val="28"/>
                              <w:szCs w:val="28"/>
                            </w:rPr>
                            <w:fldChar w:fldCharType="begin"/>
                          </w:r>
                          <w:r>
                            <w:rPr>
                              <w:rFonts w:hint="eastAsia" w:ascii="宋体" w:hAnsi="宋体" w:eastAsia="宋体" w:cstheme="minorEastAsia"/>
                              <w:sz w:val="28"/>
                              <w:szCs w:val="28"/>
                            </w:rPr>
                            <w:instrText xml:space="preserve"> PAGE  \* MERGEFORMAT </w:instrText>
                          </w:r>
                          <w:r>
                            <w:rPr>
                              <w:rFonts w:hint="eastAsia" w:ascii="宋体" w:hAnsi="宋体" w:eastAsia="宋体" w:cstheme="minorEastAsia"/>
                              <w:sz w:val="28"/>
                              <w:szCs w:val="28"/>
                            </w:rPr>
                            <w:fldChar w:fldCharType="separate"/>
                          </w:r>
                          <w:r>
                            <w:rPr>
                              <w:rFonts w:hint="eastAsia" w:ascii="宋体" w:hAnsi="宋体" w:eastAsia="宋体" w:cstheme="minorEastAsia"/>
                              <w:sz w:val="28"/>
                              <w:szCs w:val="28"/>
                            </w:rPr>
                            <w:t>- 1 -</w:t>
                          </w:r>
                          <w:r>
                            <w:rPr>
                              <w:rFonts w:hint="eastAsia" w:ascii="宋体" w:hAnsi="宋体" w:eastAsia="宋体" w:cstheme="minorEastAsia"/>
                              <w:sz w:val="28"/>
                              <w:szCs w:val="28"/>
                            </w:rPr>
                            <w:fldChar w:fldCharType="end"/>
                          </w:r>
                          <w:r>
                            <w:rPr>
                              <w:rFonts w:hint="eastAsia" w:ascii="宋体" w:hAnsi="宋体" w:eastAsia="宋体" w:cstheme="minorEastAsia"/>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BA56D43">
                    <w:pPr>
                      <w:rPr>
                        <w:rFonts w:hint="eastAsia" w:ascii="宋体" w:hAnsi="宋体" w:eastAsia="宋体" w:cstheme="minorEastAsia"/>
                        <w:sz w:val="28"/>
                        <w:szCs w:val="28"/>
                      </w:rPr>
                    </w:pPr>
                    <w:r>
                      <w:rPr>
                        <w:rFonts w:hint="eastAsia" w:ascii="宋体" w:hAnsi="宋体" w:eastAsia="宋体" w:cstheme="minorEastAsia"/>
                        <w:sz w:val="28"/>
                        <w:szCs w:val="28"/>
                      </w:rPr>
                      <w:t>—</w:t>
                    </w:r>
                    <w:r>
                      <w:rPr>
                        <w:rFonts w:hint="eastAsia" w:ascii="宋体" w:hAnsi="宋体" w:eastAsia="宋体" w:cstheme="minorEastAsia"/>
                        <w:sz w:val="28"/>
                        <w:szCs w:val="28"/>
                      </w:rPr>
                      <w:fldChar w:fldCharType="begin"/>
                    </w:r>
                    <w:r>
                      <w:rPr>
                        <w:rFonts w:hint="eastAsia" w:ascii="宋体" w:hAnsi="宋体" w:eastAsia="宋体" w:cstheme="minorEastAsia"/>
                        <w:sz w:val="28"/>
                        <w:szCs w:val="28"/>
                      </w:rPr>
                      <w:instrText xml:space="preserve"> PAGE  \* MERGEFORMAT </w:instrText>
                    </w:r>
                    <w:r>
                      <w:rPr>
                        <w:rFonts w:hint="eastAsia" w:ascii="宋体" w:hAnsi="宋体" w:eastAsia="宋体" w:cstheme="minorEastAsia"/>
                        <w:sz w:val="28"/>
                        <w:szCs w:val="28"/>
                      </w:rPr>
                      <w:fldChar w:fldCharType="separate"/>
                    </w:r>
                    <w:r>
                      <w:rPr>
                        <w:rFonts w:hint="eastAsia" w:ascii="宋体" w:hAnsi="宋体" w:eastAsia="宋体" w:cstheme="minorEastAsia"/>
                        <w:sz w:val="28"/>
                        <w:szCs w:val="28"/>
                      </w:rPr>
                      <w:t>- 1 -</w:t>
                    </w:r>
                    <w:r>
                      <w:rPr>
                        <w:rFonts w:hint="eastAsia" w:ascii="宋体" w:hAnsi="宋体" w:eastAsia="宋体" w:cstheme="minorEastAsia"/>
                        <w:sz w:val="28"/>
                        <w:szCs w:val="28"/>
                      </w:rPr>
                      <w:fldChar w:fldCharType="end"/>
                    </w:r>
                    <w:r>
                      <w:rPr>
                        <w:rFonts w:hint="eastAsia" w:ascii="宋体" w:hAnsi="宋体" w:eastAsia="宋体" w:cstheme="minorEastAsia"/>
                        <w:sz w:val="28"/>
                        <w:szCs w:val="28"/>
                      </w:rPr>
                      <w:t>—</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A78C56">
    <w:pPr>
      <w:pStyle w:val="2"/>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4A3A08">
                          <w:pPr>
                            <w:pStyle w:val="2"/>
                          </w:pPr>
                          <w:r>
                            <w:rPr>
                              <w:rFonts w:hint="eastAsia" w:asciiTheme="minorEastAsia" w:hAnsiTheme="minorEastAsia" w:eastAsiaTheme="minorEastAsia" w:cstheme="minorEastAsia"/>
                              <w:sz w:val="28"/>
                              <w:szCs w:val="28"/>
                            </w:rPr>
                            <w:t>—</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5F4A3A08">
                    <w:pPr>
                      <w:pStyle w:val="2"/>
                    </w:pPr>
                    <w:r>
                      <w:rPr>
                        <w:rFonts w:hint="eastAsia" w:asciiTheme="minorEastAsia" w:hAnsiTheme="minorEastAsia" w:eastAsiaTheme="minorEastAsia" w:cstheme="minorEastAsia"/>
                        <w:sz w:val="28"/>
                        <w:szCs w:val="28"/>
                      </w:rPr>
                      <w:t>—</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D1EFA5">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42E41D">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2"/>
  <w:embedTrueTypeFonts/>
  <w:embedSystemFonts/>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B337035"/>
    <w:rsid w:val="003965EF"/>
    <w:rsid w:val="00496F5E"/>
    <w:rsid w:val="007236CC"/>
    <w:rsid w:val="008E2804"/>
    <w:rsid w:val="0B337035"/>
    <w:rsid w:val="13B62198"/>
    <w:rsid w:val="24D35014"/>
    <w:rsid w:val="4C6D327A"/>
    <w:rsid w:val="5E574787"/>
    <w:rsid w:val="6B3D4892"/>
    <w:rsid w:val="7C4004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qFormat/>
    <w:uiPriority w:val="99"/>
    <w:pPr>
      <w:tabs>
        <w:tab w:val="center" w:pos="4153"/>
        <w:tab w:val="right" w:pos="8306"/>
      </w:tabs>
      <w:snapToGrid w:val="0"/>
      <w:jc w:val="left"/>
    </w:pPr>
    <w:rPr>
      <w:sz w:val="18"/>
      <w:szCs w:val="18"/>
    </w:rPr>
  </w:style>
  <w:style w:type="paragraph" w:styleId="3">
    <w:name w:val="header"/>
    <w:basedOn w:val="1"/>
    <w:link w:val="6"/>
    <w:qFormat/>
    <w:uiPriority w:val="0"/>
    <w:pPr>
      <w:tabs>
        <w:tab w:val="center" w:pos="4153"/>
        <w:tab w:val="right" w:pos="8306"/>
      </w:tabs>
      <w:snapToGrid w:val="0"/>
      <w:jc w:val="center"/>
    </w:pPr>
    <w:rPr>
      <w:sz w:val="18"/>
      <w:szCs w:val="18"/>
    </w:rPr>
  </w:style>
  <w:style w:type="character" w:customStyle="1" w:styleId="6">
    <w:name w:val="页眉 字符"/>
    <w:basedOn w:val="5"/>
    <w:link w:val="3"/>
    <w:qFormat/>
    <w:uiPriority w:val="0"/>
    <w:rPr>
      <w:kern w:val="2"/>
      <w:sz w:val="18"/>
      <w:szCs w:val="18"/>
    </w:rPr>
  </w:style>
  <w:style w:type="character" w:customStyle="1" w:styleId="7">
    <w:name w:val="页脚 字符"/>
    <w:basedOn w:val="5"/>
    <w:link w:val="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5092</Words>
  <Characters>5119</Characters>
  <Lines>112</Lines>
  <Paragraphs>37</Paragraphs>
  <TotalTime>4</TotalTime>
  <ScaleCrop>false</ScaleCrop>
  <LinksUpToDate>false</LinksUpToDate>
  <CharactersWithSpaces>5119</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2025-11-06T13:26:00Z</dcterms:created>
  <dc:creator>伯安</dc:creator>
  <cp:lastModifiedBy>Zzb-chl</cp:lastModifiedBy>
  <dcterms:modified xsi:type="dcterms:W3CDTF">2025-11-10T06:51:10Z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53AC93345E4F464784BC52EFC2196970_11</vt:lpwstr>
  </property>
  <property fmtid="{D5CDD505-2E9C-101B-9397-08002B2CF9AE}" pid="4" name="KSOTemplateDocerSaveRecord">
    <vt:lpwstr>eyJoZGlkIjoiMjMzMzkyYzU1ZGU2MWY4M2FkMjdkNTdjYzFlOGFkMmIiLCJ1c2VySWQiOiIxNjQ5MjM5NTc1In0=</vt:lpwstr>
  </property>
</Properties>
</file>